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[İLGİLİ MAKAMA / MAHKEMEYE / KURUMA]</w:t>
        <w:br w:type="textWrapping"/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…… / …… / 20…… tarihinde gerçekleşmesi gereken …………………………………… (durumun adı/işlem) ile ilgili olarak, önceden öngörülemeyen ve elimde olmayan mazeret nedeniyle belirtilen işlemi yerine getiremedim/getiremeyeceğim.</w:t>
        <w:br w:type="textWrapping"/>
        <w:br w:type="textWrapping"/>
        <w:t xml:space="preserve">Mazeretimin değerlendirilerek ilgili işlemin/katılımın/işlemin telafisi için gerekli kolaylığın sağlanmasını arz ederim.</w:t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Gereğini arz ederim.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…… / …… / 20……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Soyad: ……………………………………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İmza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UwICBQvXmjpxBZqq1/DmK982A==">CgMxLjA4AHIhMUNlYWtoS21lNHFHMENMdGYwRjBTejZ4c0lITjFyY1Vh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